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DF1A5" w14:textId="77777777" w:rsidR="00F424E1" w:rsidRDefault="00F424E1" w:rsidP="00F424E1">
      <w:pPr>
        <w:jc w:val="center"/>
        <w:rPr>
          <w:b/>
        </w:rPr>
      </w:pPr>
      <w:r>
        <w:rPr>
          <w:b/>
        </w:rPr>
        <w:t>BlueRock Diamonds plc</w:t>
      </w:r>
    </w:p>
    <w:p w14:paraId="232C1DA3" w14:textId="77777777" w:rsidR="00F424E1" w:rsidRDefault="00F424E1" w:rsidP="00F424E1">
      <w:pPr>
        <w:jc w:val="center"/>
        <w:rPr>
          <w:b/>
        </w:rPr>
      </w:pPr>
      <w:r>
        <w:rPr>
          <w:b/>
        </w:rPr>
        <w:t>(“BlueRock” or “the Company”)</w:t>
      </w:r>
    </w:p>
    <w:p w14:paraId="6E79AFC2" w14:textId="724F43AB" w:rsidR="00F424E1" w:rsidRDefault="00864012" w:rsidP="00F424E1">
      <w:pPr>
        <w:jc w:val="center"/>
        <w:rPr>
          <w:b/>
        </w:rPr>
      </w:pPr>
      <w:r>
        <w:rPr>
          <w:b/>
        </w:rPr>
        <w:t>6</w:t>
      </w:r>
      <w:r w:rsidR="00C935BC">
        <w:rPr>
          <w:b/>
        </w:rPr>
        <w:t xml:space="preserve"> February</w:t>
      </w:r>
      <w:r w:rsidR="00F424E1">
        <w:rPr>
          <w:b/>
        </w:rPr>
        <w:t xml:space="preserve"> 2017</w:t>
      </w:r>
    </w:p>
    <w:p w14:paraId="4D58927F" w14:textId="77777777" w:rsidR="00F424E1" w:rsidRDefault="00F424E1" w:rsidP="00F424E1">
      <w:pPr>
        <w:jc w:val="center"/>
        <w:rPr>
          <w:b/>
        </w:rPr>
      </w:pPr>
      <w:r>
        <w:rPr>
          <w:b/>
        </w:rPr>
        <w:t>Trading update</w:t>
      </w:r>
    </w:p>
    <w:p w14:paraId="33A8B5E7" w14:textId="77777777" w:rsidR="00C935BC" w:rsidRDefault="00C935BC" w:rsidP="00C92053">
      <w:pPr>
        <w:jc w:val="both"/>
      </w:pPr>
      <w:r>
        <w:t xml:space="preserve">Following its announcement on 18 January 2017 </w:t>
      </w:r>
      <w:r w:rsidR="00C662F8">
        <w:t>BlueRock is pleased to give the following update on operations at Kareevlei, its licence area in the Northern Cape of South Africa containing five known kimberlite pipes.</w:t>
      </w:r>
      <w:r w:rsidR="00022CF6">
        <w:t xml:space="preserve">  </w:t>
      </w:r>
    </w:p>
    <w:p w14:paraId="2D716FF0" w14:textId="0288EC7E" w:rsidR="00C935BC" w:rsidRDefault="00C935BC" w:rsidP="00C92053">
      <w:pPr>
        <w:jc w:val="both"/>
      </w:pPr>
      <w:r>
        <w:t>The significant recent rainfall</w:t>
      </w:r>
      <w:r w:rsidR="00FE2D60">
        <w:t xml:space="preserve"> has caused some</w:t>
      </w:r>
      <w:r w:rsidR="002A1B5D">
        <w:t xml:space="preserve"> delays to</w:t>
      </w:r>
      <w:r>
        <w:t xml:space="preserve"> t</w:t>
      </w:r>
      <w:r w:rsidR="002A1B5D">
        <w:t>he recommencement of operations</w:t>
      </w:r>
      <w:r>
        <w:t xml:space="preserve"> but</w:t>
      </w:r>
      <w:r w:rsidR="002A1B5D">
        <w:t>,</w:t>
      </w:r>
      <w:r>
        <w:t xml:space="preserve"> nevertheless</w:t>
      </w:r>
      <w:r w:rsidR="002A1B5D">
        <w:t>,</w:t>
      </w:r>
      <w:r>
        <w:t xml:space="preserve"> drilling has now commenced in the pit in pr</w:t>
      </w:r>
      <w:r w:rsidR="003555BA">
        <w:t>eparation for blasting</w:t>
      </w:r>
      <w:r w:rsidR="006765C9">
        <w:t xml:space="preserve"> soon after</w:t>
      </w:r>
      <w:r>
        <w:t xml:space="preserve">, following which we expect to have a continuous supply of run of mine material for processing.  </w:t>
      </w:r>
      <w:r w:rsidR="002A1B5D">
        <w:t>The continued rainfall has significantly improved the water reserves which is welcome for the short and medium term requirements for the plant.</w:t>
      </w:r>
    </w:p>
    <w:p w14:paraId="59F8F710" w14:textId="566DF33C" w:rsidR="00C662F8" w:rsidRDefault="00C935BC" w:rsidP="00C92053">
      <w:pPr>
        <w:jc w:val="both"/>
      </w:pPr>
      <w:r>
        <w:t xml:space="preserve">In advance of the blast we </w:t>
      </w:r>
      <w:r w:rsidR="00FE2D60">
        <w:t xml:space="preserve">will </w:t>
      </w:r>
      <w:r w:rsidR="006765C9">
        <w:t>continue to</w:t>
      </w:r>
      <w:r w:rsidR="006C07ED">
        <w:t xml:space="preserve"> test the plant by</w:t>
      </w:r>
      <w:r w:rsidR="006765C9">
        <w:t xml:space="preserve"> process</w:t>
      </w:r>
      <w:r w:rsidR="006C07ED">
        <w:t>ing</w:t>
      </w:r>
      <w:r>
        <w:t xml:space="preserve"> stockpiled kimberlite which although limited </w:t>
      </w:r>
      <w:r w:rsidR="002A1B5D">
        <w:t xml:space="preserve">in quantity and not necessarily a good indication of future grades, </w:t>
      </w:r>
      <w:r>
        <w:t>will enable us to make final adjustments to the set-</w:t>
      </w:r>
      <w:r w:rsidR="002A1B5D">
        <w:t xml:space="preserve">up of the plant </w:t>
      </w:r>
      <w:r w:rsidR="006765C9">
        <w:t xml:space="preserve">and new crushing circuit </w:t>
      </w:r>
      <w:r w:rsidR="002A1B5D">
        <w:t>prior to starting operations in earnest.</w:t>
      </w:r>
      <w:bookmarkStart w:id="0" w:name="_GoBack"/>
      <w:bookmarkEnd w:id="0"/>
    </w:p>
    <w:p w14:paraId="4A37CF24" w14:textId="77777777" w:rsidR="00D3162C" w:rsidRDefault="00D3162C" w:rsidP="00C92053">
      <w:pPr>
        <w:pStyle w:val="NoSpacing"/>
        <w:jc w:val="both"/>
      </w:pPr>
      <w:r>
        <w:t>Adam Waugh, CEO commented</w:t>
      </w:r>
      <w:r w:rsidR="007F3D32">
        <w:t>:</w:t>
      </w:r>
    </w:p>
    <w:p w14:paraId="5A1286D2" w14:textId="77777777" w:rsidR="00022CF6" w:rsidRDefault="00022CF6" w:rsidP="00C92053">
      <w:pPr>
        <w:pStyle w:val="NoSpacing"/>
        <w:jc w:val="both"/>
      </w:pPr>
    </w:p>
    <w:p w14:paraId="707CE4E1" w14:textId="071BF390" w:rsidR="008B6174" w:rsidRDefault="00D3162C" w:rsidP="00C92053">
      <w:pPr>
        <w:pStyle w:val="NoSpacing"/>
        <w:jc w:val="both"/>
      </w:pPr>
      <w:r>
        <w:t>“</w:t>
      </w:r>
      <w:r w:rsidR="002A1B5D">
        <w:t>Whilst this minor delay is frustrating, it remains a minor delay and we are using the time to fine tune our new configuration.  I look forward to updating the market on our progress in the near future.”</w:t>
      </w:r>
    </w:p>
    <w:p w14:paraId="026575C4" w14:textId="77777777" w:rsidR="008B6174" w:rsidRDefault="008B6174" w:rsidP="00C92053">
      <w:pPr>
        <w:pStyle w:val="NoSpacing"/>
        <w:jc w:val="both"/>
      </w:pPr>
    </w:p>
    <w:p w14:paraId="09639495" w14:textId="77777777" w:rsidR="00F424E1" w:rsidRDefault="00F424E1">
      <w:pPr>
        <w:jc w:val="both"/>
        <w:rPr>
          <w:b/>
          <w:szCs w:val="20"/>
        </w:rPr>
      </w:pPr>
      <w:r>
        <w:rPr>
          <w:b/>
        </w:rPr>
        <w:t>Market Abuse Regulation (MAR) Disclosure</w:t>
      </w:r>
    </w:p>
    <w:p w14:paraId="4C47CA55" w14:textId="77777777" w:rsidR="00F424E1" w:rsidRDefault="00F424E1">
      <w:pPr>
        <w:jc w:val="both"/>
      </w:pPr>
      <w:r>
        <w:t>Certain information contained in this announcement would have been deemed inside information for the purposes of Article 7 of Regulation (EU) No 596/2014 until the release of this announcement.</w:t>
      </w:r>
    </w:p>
    <w:tbl>
      <w:tblPr>
        <w:tblW w:w="91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1507"/>
        <w:gridCol w:w="72"/>
        <w:gridCol w:w="1755"/>
        <w:gridCol w:w="2309"/>
      </w:tblGrid>
      <w:tr w:rsidR="00F424E1" w14:paraId="3400CD6B" w14:textId="77777777" w:rsidTr="00184261"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042B" w14:textId="77777777" w:rsidR="00F424E1" w:rsidRDefault="00F424E1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Enquiries:</w:t>
            </w:r>
          </w:p>
        </w:tc>
        <w:tc>
          <w:tcPr>
            <w:tcW w:w="1507" w:type="dxa"/>
          </w:tcPr>
          <w:p w14:paraId="5BEEECB7" w14:textId="77777777" w:rsidR="00F424E1" w:rsidRDefault="00F424E1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  <w:gridSpan w:val="2"/>
          </w:tcPr>
          <w:p w14:paraId="77FC157F" w14:textId="77777777" w:rsidR="00F424E1" w:rsidRDefault="00F424E1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B45B" w14:textId="77777777" w:rsidR="00F424E1" w:rsidRDefault="00F424E1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424E1" w14:paraId="28E65573" w14:textId="77777777" w:rsidTr="00184261">
        <w:trPr>
          <w:trHeight w:val="1074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4ADB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BlueRock Diamonds plc</w:t>
            </w:r>
          </w:p>
          <w:p w14:paraId="1AA563E4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Cs/>
                <w:color w:val="000000"/>
                <w:lang w:eastAsia="en-GB"/>
              </w:rPr>
            </w:pPr>
            <w:r>
              <w:rPr>
                <w:rFonts w:cs="Arial"/>
                <w:bCs/>
                <w:color w:val="000000"/>
                <w:lang w:eastAsia="en-GB"/>
              </w:rPr>
              <w:t>Adam Waugh, CEO</w:t>
            </w:r>
          </w:p>
          <w:p w14:paraId="55F5DB5F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Cs/>
                <w:color w:val="000000"/>
                <w:lang w:eastAsia="en-GB"/>
              </w:rPr>
            </w:pPr>
            <w:r>
              <w:rPr>
                <w:rFonts w:cs="Arial"/>
                <w:bCs/>
                <w:color w:val="000000"/>
                <w:lang w:eastAsia="en-GB"/>
              </w:rPr>
              <w:t>awaugh@bluerockdiamonds.co.uk</w:t>
            </w:r>
          </w:p>
        </w:tc>
        <w:tc>
          <w:tcPr>
            <w:tcW w:w="1507" w:type="dxa"/>
          </w:tcPr>
          <w:p w14:paraId="53EDB888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72" w:type="dxa"/>
          </w:tcPr>
          <w:p w14:paraId="61CD1E42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B68D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SP Angel Corporate Finance LLP</w:t>
            </w:r>
          </w:p>
          <w:p w14:paraId="707DFA43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Cs/>
                <w:color w:val="000000"/>
                <w:lang w:eastAsia="en-GB"/>
              </w:rPr>
            </w:pPr>
            <w:r>
              <w:rPr>
                <w:rFonts w:cs="Arial"/>
                <w:bCs/>
                <w:color w:val="000000"/>
                <w:lang w:eastAsia="en-GB"/>
              </w:rPr>
              <w:t>Nominated Adviser &amp; Broker</w:t>
            </w:r>
          </w:p>
          <w:p w14:paraId="2BF6E1A4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Cs/>
                <w:color w:val="000000"/>
                <w:lang w:eastAsia="en-GB"/>
              </w:rPr>
            </w:pPr>
            <w:r>
              <w:rPr>
                <w:rFonts w:cs="Arial"/>
                <w:bCs/>
                <w:color w:val="000000"/>
                <w:lang w:eastAsia="en-GB"/>
              </w:rPr>
              <w:t>Stuart Gledhill / Lindsay Mair</w:t>
            </w:r>
          </w:p>
          <w:p w14:paraId="393B0973" w14:textId="77777777" w:rsidR="00F424E1" w:rsidRDefault="00F424E1" w:rsidP="00C92053">
            <w:pPr>
              <w:spacing w:after="100" w:afterAutospacing="1" w:line="240" w:lineRule="auto"/>
              <w:jc w:val="both"/>
              <w:rPr>
                <w:rFonts w:cs="Arial"/>
                <w:bCs/>
                <w:color w:val="000000"/>
                <w:lang w:eastAsia="en-GB"/>
              </w:rPr>
            </w:pPr>
            <w:r>
              <w:rPr>
                <w:rFonts w:cs="Arial"/>
                <w:bCs/>
                <w:color w:val="000000"/>
                <w:lang w:eastAsia="en-GB"/>
              </w:rPr>
              <w:t>+44 (0) 20 3470 0470</w:t>
            </w:r>
          </w:p>
        </w:tc>
      </w:tr>
    </w:tbl>
    <w:p w14:paraId="2768D9FF" w14:textId="77777777" w:rsidR="00F424E1" w:rsidRDefault="00F424E1" w:rsidP="00C92053">
      <w:pPr>
        <w:shd w:val="clear" w:color="auto" w:fill="FFFFFF"/>
        <w:jc w:val="both"/>
        <w:rPr>
          <w:b/>
          <w:bCs/>
        </w:rPr>
      </w:pPr>
    </w:p>
    <w:p w14:paraId="7C7FCE78" w14:textId="77777777" w:rsidR="00F424E1" w:rsidRDefault="00F424E1" w:rsidP="00C92053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About BlueRock Diamonds plc (AIM: BRD)</w:t>
      </w:r>
    </w:p>
    <w:p w14:paraId="4E20D2B2" w14:textId="77777777" w:rsidR="00F424E1" w:rsidRDefault="00F424E1">
      <w:pPr>
        <w:spacing w:after="240"/>
        <w:jc w:val="both"/>
        <w:rPr>
          <w:lang w:val="en-US"/>
        </w:rPr>
      </w:pPr>
      <w:r>
        <w:rPr>
          <w:lang w:val="en-US"/>
        </w:rPr>
        <w:t xml:space="preserve">BlueRock is a diamond mining company with activities in the Kimberley region of South Africa. BlueRock owns a diamond processing plant and the mining right over the Kareevlei Tenements in South Africa. </w:t>
      </w:r>
    </w:p>
    <w:p w14:paraId="5C3FCF4E" w14:textId="77777777" w:rsidR="008B6174" w:rsidRDefault="008B6174" w:rsidP="00D3162C">
      <w:pPr>
        <w:pStyle w:val="NoSpacing"/>
      </w:pPr>
    </w:p>
    <w:p w14:paraId="1700B89B" w14:textId="77777777" w:rsidR="00826FA3" w:rsidRDefault="00826FA3" w:rsidP="00C662F8"/>
    <w:sectPr w:rsidR="0082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8"/>
    <w:rsid w:val="00022CF6"/>
    <w:rsid w:val="00024C0C"/>
    <w:rsid w:val="00036F1A"/>
    <w:rsid w:val="000C5829"/>
    <w:rsid w:val="00154F9D"/>
    <w:rsid w:val="00161402"/>
    <w:rsid w:val="001D5C21"/>
    <w:rsid w:val="00231D31"/>
    <w:rsid w:val="00280F2E"/>
    <w:rsid w:val="002A1B5D"/>
    <w:rsid w:val="003410FD"/>
    <w:rsid w:val="00347872"/>
    <w:rsid w:val="003555BA"/>
    <w:rsid w:val="0041228B"/>
    <w:rsid w:val="00432A73"/>
    <w:rsid w:val="00454891"/>
    <w:rsid w:val="005E1C74"/>
    <w:rsid w:val="005E3A8B"/>
    <w:rsid w:val="006765C9"/>
    <w:rsid w:val="006C07ED"/>
    <w:rsid w:val="006F2E56"/>
    <w:rsid w:val="007F3D32"/>
    <w:rsid w:val="00826FA3"/>
    <w:rsid w:val="00864012"/>
    <w:rsid w:val="008B5C60"/>
    <w:rsid w:val="008B6174"/>
    <w:rsid w:val="00900CBD"/>
    <w:rsid w:val="00976BC7"/>
    <w:rsid w:val="009B64D2"/>
    <w:rsid w:val="00A17E85"/>
    <w:rsid w:val="00A428E5"/>
    <w:rsid w:val="00AB2FBD"/>
    <w:rsid w:val="00B765E2"/>
    <w:rsid w:val="00C61772"/>
    <w:rsid w:val="00C662F8"/>
    <w:rsid w:val="00C92053"/>
    <w:rsid w:val="00C935BC"/>
    <w:rsid w:val="00CE3530"/>
    <w:rsid w:val="00D3162C"/>
    <w:rsid w:val="00D56AC8"/>
    <w:rsid w:val="00DE668B"/>
    <w:rsid w:val="00ED12D9"/>
    <w:rsid w:val="00F424E1"/>
    <w:rsid w:val="00FD0B76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60C9"/>
  <w15:chartTrackingRefBased/>
  <w15:docId w15:val="{382C08D4-86D0-4AD2-8587-2D7E55EF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6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2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Waugh</dc:creator>
  <cp:keywords/>
  <dc:description/>
  <cp:lastModifiedBy>Caroline Rowe</cp:lastModifiedBy>
  <cp:revision>4</cp:revision>
  <dcterms:created xsi:type="dcterms:W3CDTF">2017-02-06T10:58:00Z</dcterms:created>
  <dcterms:modified xsi:type="dcterms:W3CDTF">2017-02-06T10:58:00Z</dcterms:modified>
</cp:coreProperties>
</file>