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522D5" w14:textId="77777777" w:rsidR="002534B4" w:rsidRDefault="002534B4" w:rsidP="002534B4">
      <w:pPr>
        <w:pStyle w:val="ajk"/>
        <w:spacing w:before="0" w:beforeAutospacing="0" w:line="340" w:lineRule="atLeast"/>
        <w:jc w:val="center"/>
        <w:rPr>
          <w:b/>
          <w:bCs/>
          <w:color w:val="000000"/>
        </w:rPr>
      </w:pPr>
      <w:r>
        <w:rPr>
          <w:rStyle w:val="aji"/>
          <w:rFonts w:ascii="Calibri" w:hAnsi="Calibri"/>
          <w:b/>
          <w:bCs/>
          <w:color w:val="000000"/>
          <w:sz w:val="22"/>
          <w:szCs w:val="22"/>
        </w:rPr>
        <w:t>BlueRock Diamonds plc</w:t>
      </w:r>
    </w:p>
    <w:p w14:paraId="6D85F1F5" w14:textId="77777777" w:rsidR="002534B4" w:rsidRDefault="002534B4" w:rsidP="002534B4">
      <w:pPr>
        <w:pStyle w:val="ajk"/>
        <w:spacing w:before="0" w:beforeAutospacing="0" w:line="340" w:lineRule="atLeast"/>
        <w:jc w:val="center"/>
        <w:rPr>
          <w:b/>
          <w:bCs/>
          <w:color w:val="000000"/>
        </w:rPr>
      </w:pPr>
      <w:r>
        <w:rPr>
          <w:rStyle w:val="aji"/>
          <w:rFonts w:ascii="Calibri" w:hAnsi="Calibri"/>
          <w:b/>
          <w:bCs/>
          <w:color w:val="000000"/>
          <w:sz w:val="22"/>
          <w:szCs w:val="22"/>
        </w:rPr>
        <w:t>("BlueRock" or "the Company")</w:t>
      </w:r>
    </w:p>
    <w:p w14:paraId="46A04721" w14:textId="0231A845" w:rsidR="002534B4" w:rsidRDefault="000C40CA" w:rsidP="002534B4">
      <w:pPr>
        <w:pStyle w:val="ajk"/>
        <w:spacing w:before="0" w:beforeAutospacing="0" w:line="340" w:lineRule="atLeast"/>
        <w:jc w:val="center"/>
      </w:pPr>
      <w:r>
        <w:rPr>
          <w:rStyle w:val="aji"/>
          <w:rFonts w:ascii="Calibri" w:hAnsi="Calibri"/>
          <w:b/>
          <w:bCs/>
          <w:color w:val="000000"/>
          <w:sz w:val="22"/>
          <w:szCs w:val="22"/>
        </w:rPr>
        <w:t>31</w:t>
      </w:r>
      <w:r w:rsidR="004B379C">
        <w:rPr>
          <w:rStyle w:val="aji"/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Style w:val="aji"/>
          <w:rFonts w:ascii="Calibri" w:hAnsi="Calibri"/>
          <w:b/>
          <w:bCs/>
          <w:color w:val="000000"/>
          <w:sz w:val="22"/>
          <w:szCs w:val="22"/>
        </w:rPr>
        <w:t>January 2017</w:t>
      </w:r>
    </w:p>
    <w:p w14:paraId="0DD59209" w14:textId="0784EC8F" w:rsidR="008003B4" w:rsidRPr="002534B4" w:rsidRDefault="00B674F9" w:rsidP="002534B4">
      <w:pPr>
        <w:jc w:val="center"/>
        <w:rPr>
          <w:b/>
        </w:rPr>
      </w:pPr>
      <w:r>
        <w:rPr>
          <w:b/>
        </w:rPr>
        <w:t>Total Voting Rights</w:t>
      </w:r>
    </w:p>
    <w:p w14:paraId="401DC6C5" w14:textId="3CDE2821" w:rsidR="00B674F9" w:rsidRPr="00B674F9" w:rsidRDefault="00B674F9" w:rsidP="00B674F9">
      <w:pPr>
        <w:spacing w:after="270" w:line="240" w:lineRule="auto"/>
        <w:jc w:val="both"/>
      </w:pPr>
      <w:r w:rsidRPr="00B674F9">
        <w:t xml:space="preserve">In accordance with the Financial Conduct Authority's Disclosure and Transparency Rules, the Company hereby </w:t>
      </w:r>
      <w:r w:rsidR="000C40CA">
        <w:t xml:space="preserve">announces that it has </w:t>
      </w:r>
      <w:r w:rsidR="000C40CA" w:rsidRPr="000C40CA">
        <w:t>55,709,580</w:t>
      </w:r>
      <w:r w:rsidRPr="00B674F9">
        <w:t xml:space="preserve"> ordinary </w:t>
      </w:r>
      <w:r w:rsidRPr="003E17FA">
        <w:t>shares of 1p each</w:t>
      </w:r>
      <w:r w:rsidRPr="00B674F9">
        <w:t xml:space="preserve"> in issue, none of which are held in treasury. Therefore, the total number of voting rights in the Company is </w:t>
      </w:r>
      <w:r w:rsidR="000C40CA" w:rsidRPr="000C40CA">
        <w:t>55,709,580</w:t>
      </w:r>
      <w:r w:rsidRPr="00B674F9">
        <w:t xml:space="preserve">. </w:t>
      </w:r>
    </w:p>
    <w:p w14:paraId="7D740452" w14:textId="4E955B4D" w:rsidR="00E23DF8" w:rsidRPr="00B674F9" w:rsidRDefault="00B674F9" w:rsidP="00B674F9">
      <w:pPr>
        <w:jc w:val="both"/>
      </w:pPr>
      <w:r w:rsidRPr="00B674F9">
        <w:t xml:space="preserve">The above figure of </w:t>
      </w:r>
      <w:r w:rsidR="000C40CA" w:rsidRPr="000C40CA">
        <w:t>55,709,580</w:t>
      </w:r>
      <w:r w:rsidR="000C40CA" w:rsidRPr="00B674F9">
        <w:t xml:space="preserve"> </w:t>
      </w:r>
      <w:r w:rsidRPr="00B674F9">
        <w:t>may be used by shareholders in the Company as the denominator for the calculations by which they will determine if they are required to notify their interest in, or a change in their interest in, the share capital of the Company under the FCA's Disclosure and Transparency Rules.</w:t>
      </w:r>
      <w:bookmarkStart w:id="0" w:name="_GoBack"/>
      <w:bookmarkEnd w:id="0"/>
    </w:p>
    <w:tbl>
      <w:tblPr>
        <w:tblW w:w="9134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1507"/>
        <w:gridCol w:w="1827"/>
        <w:gridCol w:w="2309"/>
      </w:tblGrid>
      <w:tr w:rsidR="003F73C9" w:rsidRPr="002534B4" w14:paraId="14733109" w14:textId="77777777" w:rsidTr="003F73C9">
        <w:tc>
          <w:tcPr>
            <w:tcW w:w="3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B5F7" w14:textId="77777777" w:rsidR="003F73C9" w:rsidRDefault="003F73C9" w:rsidP="002534B4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  <w:p w14:paraId="172EF911" w14:textId="77777777" w:rsidR="003F73C9" w:rsidRPr="002534B4" w:rsidRDefault="003F73C9" w:rsidP="002534B4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/>
                <w:bCs/>
                <w:color w:val="000000"/>
                <w:lang w:eastAsia="en-GB"/>
              </w:rPr>
              <w:t>Enquiries:</w:t>
            </w:r>
          </w:p>
          <w:p w14:paraId="0015BDB9" w14:textId="77777777" w:rsidR="003F73C9" w:rsidRPr="002534B4" w:rsidRDefault="003F73C9" w:rsidP="002534B4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07" w:type="dxa"/>
          </w:tcPr>
          <w:p w14:paraId="5D1C0CB1" w14:textId="77777777" w:rsidR="003F73C9" w:rsidRPr="002534B4" w:rsidRDefault="003F73C9" w:rsidP="002534B4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27" w:type="dxa"/>
          </w:tcPr>
          <w:p w14:paraId="2F4872FE" w14:textId="77777777" w:rsidR="003F73C9" w:rsidRPr="002534B4" w:rsidRDefault="003F73C9" w:rsidP="002534B4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BBC5" w14:textId="37F0E330" w:rsidR="003F73C9" w:rsidRPr="002534B4" w:rsidRDefault="003F73C9" w:rsidP="002534B4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/>
                <w:bCs/>
                <w:color w:val="000000"/>
                <w:lang w:eastAsia="en-GB"/>
              </w:rPr>
              <w:t> </w:t>
            </w:r>
          </w:p>
        </w:tc>
      </w:tr>
      <w:tr w:rsidR="003F73C9" w:rsidRPr="002534B4" w14:paraId="127AE117" w14:textId="77777777" w:rsidTr="003F73C9">
        <w:trPr>
          <w:trHeight w:val="1074"/>
        </w:trPr>
        <w:tc>
          <w:tcPr>
            <w:tcW w:w="3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CF027" w14:textId="77777777" w:rsidR="003F73C9" w:rsidRPr="002534B4" w:rsidRDefault="003F73C9" w:rsidP="002534B4">
            <w:pPr>
              <w:spacing w:after="100" w:afterAutospacing="1" w:line="240" w:lineRule="auto"/>
              <w:rPr>
                <w:rFonts w:cs="Arial"/>
                <w:b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/>
                <w:bCs/>
                <w:color w:val="000000"/>
                <w:lang w:eastAsia="en-GB"/>
              </w:rPr>
              <w:t>BlueRock Diamonds plc</w:t>
            </w:r>
          </w:p>
          <w:p w14:paraId="3105BF64" w14:textId="77777777" w:rsidR="003F73C9" w:rsidRPr="002534B4" w:rsidRDefault="003F73C9" w:rsidP="002534B4">
            <w:pPr>
              <w:spacing w:after="100" w:afterAutospacing="1" w:line="240" w:lineRule="auto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Adam Waugh, CEO</w:t>
            </w:r>
          </w:p>
          <w:p w14:paraId="448C3426" w14:textId="77777777" w:rsidR="003F73C9" w:rsidRPr="002534B4" w:rsidRDefault="003F73C9" w:rsidP="002534B4">
            <w:pPr>
              <w:spacing w:after="100" w:afterAutospacing="1" w:line="240" w:lineRule="auto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awaugh@bluerockdiamonds.co.uk</w:t>
            </w:r>
          </w:p>
          <w:p w14:paraId="51B960F5" w14:textId="77777777" w:rsidR="003F73C9" w:rsidRPr="002534B4" w:rsidRDefault="003F73C9" w:rsidP="002534B4">
            <w:pPr>
              <w:spacing w:after="100" w:afterAutospacing="1" w:line="240" w:lineRule="auto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507" w:type="dxa"/>
          </w:tcPr>
          <w:p w14:paraId="4FC977F6" w14:textId="77777777" w:rsidR="003F73C9" w:rsidRPr="002534B4" w:rsidRDefault="003F73C9" w:rsidP="002534B4">
            <w:pPr>
              <w:spacing w:after="100" w:afterAutospacing="1" w:line="240" w:lineRule="auto"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27" w:type="dxa"/>
          </w:tcPr>
          <w:p w14:paraId="33CDDFED" w14:textId="77777777" w:rsidR="003F73C9" w:rsidRPr="002534B4" w:rsidRDefault="003F73C9" w:rsidP="002534B4">
            <w:pPr>
              <w:spacing w:after="100" w:afterAutospacing="1" w:line="240" w:lineRule="auto"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F3DA" w14:textId="097049DA" w:rsidR="003F73C9" w:rsidRPr="002534B4" w:rsidRDefault="003F73C9" w:rsidP="002534B4">
            <w:pPr>
              <w:spacing w:after="100" w:afterAutospacing="1" w:line="240" w:lineRule="auto"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/>
                <w:bCs/>
                <w:color w:val="000000"/>
                <w:lang w:eastAsia="en-GB"/>
              </w:rPr>
              <w:t>SP Angel Corporate Finance LLP</w:t>
            </w:r>
          </w:p>
          <w:p w14:paraId="0896EA16" w14:textId="77777777" w:rsidR="003F73C9" w:rsidRPr="002534B4" w:rsidRDefault="003F73C9" w:rsidP="002534B4">
            <w:pPr>
              <w:spacing w:after="100" w:afterAutospacing="1" w:line="240" w:lineRule="auto"/>
              <w:jc w:val="right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Nominated Adviser &amp; Broker</w:t>
            </w:r>
          </w:p>
          <w:p w14:paraId="209EF315" w14:textId="542DCDD5" w:rsidR="003F73C9" w:rsidRPr="002534B4" w:rsidRDefault="003F73C9" w:rsidP="002534B4">
            <w:pPr>
              <w:spacing w:after="100" w:afterAutospacing="1" w:line="240" w:lineRule="auto"/>
              <w:jc w:val="right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Stuart Gledhill</w:t>
            </w:r>
            <w:r w:rsidR="00C211BF">
              <w:rPr>
                <w:rFonts w:cs="Arial"/>
                <w:bCs/>
                <w:color w:val="000000"/>
                <w:lang w:eastAsia="en-GB"/>
              </w:rPr>
              <w:t>/ Lindsay Mair</w:t>
            </w:r>
          </w:p>
          <w:p w14:paraId="0CE04319" w14:textId="77777777" w:rsidR="003F73C9" w:rsidRPr="002534B4" w:rsidRDefault="003F73C9" w:rsidP="002534B4">
            <w:pPr>
              <w:spacing w:after="100" w:afterAutospacing="1" w:line="240" w:lineRule="auto"/>
              <w:jc w:val="right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+44 (0) 20 3470 0470</w:t>
            </w:r>
          </w:p>
        </w:tc>
      </w:tr>
    </w:tbl>
    <w:p w14:paraId="0F19DC04" w14:textId="77777777" w:rsidR="002534B4" w:rsidRPr="002534B4" w:rsidRDefault="002534B4" w:rsidP="002534B4">
      <w:pPr>
        <w:spacing w:after="100" w:afterAutospacing="1" w:line="340" w:lineRule="atLeast"/>
        <w:jc w:val="both"/>
        <w:rPr>
          <w:rFonts w:ascii="Arial" w:hAnsi="Arial" w:cs="Arial"/>
          <w:color w:val="000000"/>
          <w:lang w:eastAsia="en-GB"/>
        </w:rPr>
      </w:pPr>
    </w:p>
    <w:p w14:paraId="6E1A42D1" w14:textId="77777777" w:rsidR="002534B4" w:rsidRPr="002534B4" w:rsidRDefault="002534B4" w:rsidP="002534B4">
      <w:pPr>
        <w:shd w:val="clear" w:color="auto" w:fill="FFFFFF"/>
        <w:rPr>
          <w:b/>
          <w:bCs/>
        </w:rPr>
      </w:pPr>
      <w:r w:rsidRPr="002534B4">
        <w:rPr>
          <w:b/>
          <w:bCs/>
        </w:rPr>
        <w:t>About BlueRock Diamonds plc (AIM</w:t>
      </w:r>
      <w:proofErr w:type="gramStart"/>
      <w:r w:rsidRPr="002534B4">
        <w:rPr>
          <w:b/>
          <w:bCs/>
        </w:rPr>
        <w:t>:BRD</w:t>
      </w:r>
      <w:proofErr w:type="gramEnd"/>
      <w:r w:rsidRPr="002534B4">
        <w:rPr>
          <w:b/>
          <w:bCs/>
        </w:rPr>
        <w:t>)</w:t>
      </w:r>
    </w:p>
    <w:p w14:paraId="00824311" w14:textId="77777777" w:rsidR="002534B4" w:rsidRPr="002534B4" w:rsidRDefault="002534B4" w:rsidP="002534B4">
      <w:pPr>
        <w:spacing w:after="240"/>
        <w:jc w:val="both"/>
        <w:rPr>
          <w:lang w:val="en-US"/>
        </w:rPr>
      </w:pPr>
      <w:r w:rsidRPr="002534B4">
        <w:rPr>
          <w:lang w:val="en-US"/>
        </w:rPr>
        <w:t xml:space="preserve">BlueRock is a diamond mining company with activities in the Kimberley region of South Africa. BlueRock own a diamond processing plant and the mining right over the Kareevlei Tenements in South Africa. </w:t>
      </w:r>
    </w:p>
    <w:p w14:paraId="20538F76" w14:textId="77777777" w:rsidR="002534B4" w:rsidRDefault="002534B4" w:rsidP="00D65D6E">
      <w:pPr>
        <w:jc w:val="both"/>
      </w:pPr>
    </w:p>
    <w:p w14:paraId="40B362C2" w14:textId="77777777" w:rsidR="002534B4" w:rsidRDefault="002534B4" w:rsidP="00D65D6E">
      <w:pPr>
        <w:jc w:val="both"/>
      </w:pPr>
    </w:p>
    <w:sectPr w:rsidR="00253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A1D7D"/>
    <w:multiLevelType w:val="hybridMultilevel"/>
    <w:tmpl w:val="6A8A9820"/>
    <w:lvl w:ilvl="0" w:tplc="B45231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B4"/>
    <w:rsid w:val="00061B81"/>
    <w:rsid w:val="000C40CA"/>
    <w:rsid w:val="001C0479"/>
    <w:rsid w:val="00236D96"/>
    <w:rsid w:val="002534B4"/>
    <w:rsid w:val="00290D4A"/>
    <w:rsid w:val="002B033C"/>
    <w:rsid w:val="002C4CB8"/>
    <w:rsid w:val="00347538"/>
    <w:rsid w:val="003529BA"/>
    <w:rsid w:val="003D193E"/>
    <w:rsid w:val="003E17FA"/>
    <w:rsid w:val="003F73C9"/>
    <w:rsid w:val="00403826"/>
    <w:rsid w:val="00421214"/>
    <w:rsid w:val="004B379C"/>
    <w:rsid w:val="004C1E29"/>
    <w:rsid w:val="005876A0"/>
    <w:rsid w:val="00604074"/>
    <w:rsid w:val="0062252B"/>
    <w:rsid w:val="006E5A37"/>
    <w:rsid w:val="00715BF7"/>
    <w:rsid w:val="00783F58"/>
    <w:rsid w:val="008003B4"/>
    <w:rsid w:val="0081798E"/>
    <w:rsid w:val="00883BA3"/>
    <w:rsid w:val="00891EFA"/>
    <w:rsid w:val="008F6B52"/>
    <w:rsid w:val="009B701E"/>
    <w:rsid w:val="009D2578"/>
    <w:rsid w:val="00A569B0"/>
    <w:rsid w:val="00A60418"/>
    <w:rsid w:val="00B07499"/>
    <w:rsid w:val="00B464A3"/>
    <w:rsid w:val="00B476C7"/>
    <w:rsid w:val="00B62DEC"/>
    <w:rsid w:val="00B674F9"/>
    <w:rsid w:val="00BA203B"/>
    <w:rsid w:val="00BB7231"/>
    <w:rsid w:val="00BF5146"/>
    <w:rsid w:val="00C211BF"/>
    <w:rsid w:val="00C270E1"/>
    <w:rsid w:val="00C72BE8"/>
    <w:rsid w:val="00CE2685"/>
    <w:rsid w:val="00CE3330"/>
    <w:rsid w:val="00D65D6E"/>
    <w:rsid w:val="00DC3EAC"/>
    <w:rsid w:val="00DE0D26"/>
    <w:rsid w:val="00E22C16"/>
    <w:rsid w:val="00E23DF8"/>
    <w:rsid w:val="00E42C3D"/>
    <w:rsid w:val="00E4441D"/>
    <w:rsid w:val="00EA3837"/>
    <w:rsid w:val="00FA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46A9"/>
  <w15:chartTrackingRefBased/>
  <w15:docId w15:val="{F5EA9EF7-80EF-4983-BABB-CFF3FAA0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9B0"/>
    <w:pPr>
      <w:ind w:left="720"/>
      <w:contextualSpacing/>
    </w:pPr>
  </w:style>
  <w:style w:type="paragraph" w:customStyle="1" w:styleId="ajk">
    <w:name w:val="ajk"/>
    <w:basedOn w:val="Normal"/>
    <w:rsid w:val="0025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ji">
    <w:name w:val="aji"/>
    <w:basedOn w:val="DefaultParagraphFont"/>
    <w:rsid w:val="002534B4"/>
  </w:style>
  <w:style w:type="paragraph" w:styleId="BalloonText">
    <w:name w:val="Balloon Text"/>
    <w:basedOn w:val="Normal"/>
    <w:link w:val="BalloonTextChar"/>
    <w:uiPriority w:val="99"/>
    <w:semiHidden/>
    <w:unhideWhenUsed/>
    <w:rsid w:val="00B6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EC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rsid w:val="00B674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f">
    <w:name w:val="af"/>
    <w:basedOn w:val="DefaultParagraphFont"/>
    <w:rsid w:val="00B67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867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Facey</dc:creator>
  <cp:keywords/>
  <dc:description/>
  <cp:lastModifiedBy>Caroline Rowe</cp:lastModifiedBy>
  <cp:revision>3</cp:revision>
  <cp:lastPrinted>2016-10-19T10:30:00Z</cp:lastPrinted>
  <dcterms:created xsi:type="dcterms:W3CDTF">2017-01-19T16:25:00Z</dcterms:created>
  <dcterms:modified xsi:type="dcterms:W3CDTF">2017-01-19T16:26:00Z</dcterms:modified>
</cp:coreProperties>
</file>