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3ECA8" w14:textId="77777777" w:rsidR="00E12D3A" w:rsidRPr="00A21E6E" w:rsidRDefault="004809C9" w:rsidP="00A21E6E">
      <w:pPr>
        <w:jc w:val="center"/>
        <w:rPr>
          <w:b/>
        </w:rPr>
      </w:pPr>
      <w:proofErr w:type="spellStart"/>
      <w:r w:rsidRPr="00A21E6E">
        <w:rPr>
          <w:b/>
        </w:rPr>
        <w:t>BlueRock</w:t>
      </w:r>
      <w:proofErr w:type="spellEnd"/>
      <w:r w:rsidRPr="00A21E6E">
        <w:rPr>
          <w:b/>
        </w:rPr>
        <w:t xml:space="preserve"> Diamonds plc</w:t>
      </w:r>
    </w:p>
    <w:p w14:paraId="599F7CA7" w14:textId="31D970D3" w:rsidR="00AF7BEA" w:rsidRDefault="004809C9" w:rsidP="00A21E6E">
      <w:pPr>
        <w:jc w:val="center"/>
        <w:rPr>
          <w:b/>
        </w:rPr>
      </w:pPr>
      <w:r w:rsidRPr="00A21E6E">
        <w:rPr>
          <w:b/>
        </w:rPr>
        <w:t>(“</w:t>
      </w:r>
      <w:proofErr w:type="spellStart"/>
      <w:r w:rsidRPr="00A21E6E">
        <w:rPr>
          <w:b/>
        </w:rPr>
        <w:t>BlueRock</w:t>
      </w:r>
      <w:proofErr w:type="spellEnd"/>
      <w:r w:rsidR="00E12D3A">
        <w:rPr>
          <w:b/>
        </w:rPr>
        <w:t>” or “</w:t>
      </w:r>
      <w:r w:rsidRPr="00A21E6E">
        <w:rPr>
          <w:b/>
        </w:rPr>
        <w:t>the Company”)</w:t>
      </w:r>
    </w:p>
    <w:p w14:paraId="3F802100" w14:textId="4C63DDC2" w:rsidR="00E12D3A" w:rsidRDefault="00776463" w:rsidP="00A21E6E">
      <w:pPr>
        <w:jc w:val="center"/>
        <w:rPr>
          <w:b/>
        </w:rPr>
      </w:pPr>
      <w:r>
        <w:rPr>
          <w:b/>
        </w:rPr>
        <w:t>9</w:t>
      </w:r>
      <w:r w:rsidR="00E12D3A">
        <w:rPr>
          <w:b/>
        </w:rPr>
        <w:t xml:space="preserve"> December 2016</w:t>
      </w:r>
    </w:p>
    <w:p w14:paraId="317ED2CB" w14:textId="4CABDC09" w:rsidR="00E12D3A" w:rsidRPr="00A21E6E" w:rsidRDefault="00805C7F" w:rsidP="00A21E6E">
      <w:pPr>
        <w:jc w:val="center"/>
        <w:rPr>
          <w:b/>
        </w:rPr>
      </w:pPr>
      <w:r>
        <w:rPr>
          <w:b/>
        </w:rPr>
        <w:t xml:space="preserve">Acquisition and Settlement Agreement and </w:t>
      </w:r>
      <w:r w:rsidR="00E12D3A">
        <w:rPr>
          <w:b/>
        </w:rPr>
        <w:t>Related Party Transaction</w:t>
      </w:r>
      <w:r w:rsidR="00633449">
        <w:rPr>
          <w:b/>
        </w:rPr>
        <w:t xml:space="preserve"> </w:t>
      </w:r>
    </w:p>
    <w:p w14:paraId="09309705" w14:textId="7E4BCEAC" w:rsidR="00D35C6A" w:rsidRDefault="0016270B" w:rsidP="004809C9">
      <w:pPr>
        <w:jc w:val="both"/>
      </w:pPr>
      <w:r>
        <w:t xml:space="preserve">Following the resignation of John </w:t>
      </w:r>
      <w:proofErr w:type="spellStart"/>
      <w:r>
        <w:t>Kilham</w:t>
      </w:r>
      <w:proofErr w:type="spellEnd"/>
      <w:r>
        <w:t xml:space="preserve"> on 19 October 2016, the Company </w:t>
      </w:r>
      <w:r w:rsidR="00393EA8">
        <w:t xml:space="preserve">announces that it has entered into an </w:t>
      </w:r>
      <w:r w:rsidR="00805C7F">
        <w:t xml:space="preserve">acquisition and settlement </w:t>
      </w:r>
      <w:r w:rsidR="00393EA8">
        <w:t xml:space="preserve">agreement with </w:t>
      </w:r>
      <w:r w:rsidR="00805C7F">
        <w:t xml:space="preserve">Mr. </w:t>
      </w:r>
      <w:proofErr w:type="spellStart"/>
      <w:r w:rsidR="00805C7F">
        <w:t>Kilham</w:t>
      </w:r>
      <w:proofErr w:type="spellEnd"/>
      <w:r w:rsidR="00805C7F">
        <w:t xml:space="preserve"> in order to resolve outstanding matters (“Agreement”)</w:t>
      </w:r>
      <w:r w:rsidR="00393EA8">
        <w:t xml:space="preserve">. </w:t>
      </w:r>
      <w:r w:rsidR="00805C7F">
        <w:t>Under the Agreement, t</w:t>
      </w:r>
      <w:r w:rsidR="004809C9">
        <w:t>he Company has agreed to acqui</w:t>
      </w:r>
      <w:r w:rsidR="00623E39">
        <w:t xml:space="preserve">re a crusher from </w:t>
      </w:r>
      <w:proofErr w:type="spellStart"/>
      <w:r w:rsidR="00805C7F">
        <w:t>Kgalagadi</w:t>
      </w:r>
      <w:proofErr w:type="spellEnd"/>
      <w:r w:rsidR="00805C7F">
        <w:t xml:space="preserve"> </w:t>
      </w:r>
      <w:proofErr w:type="spellStart"/>
      <w:r w:rsidR="00805C7F">
        <w:t>Geoservices</w:t>
      </w:r>
      <w:proofErr w:type="spellEnd"/>
      <w:r w:rsidR="00805C7F">
        <w:t xml:space="preserve"> (Pty) Limited (“</w:t>
      </w:r>
      <w:proofErr w:type="spellStart"/>
      <w:r w:rsidR="00805C7F">
        <w:t>Kgalagadi</w:t>
      </w:r>
      <w:proofErr w:type="spellEnd"/>
      <w:r w:rsidR="00805C7F">
        <w:t xml:space="preserve"> </w:t>
      </w:r>
      <w:proofErr w:type="spellStart"/>
      <w:r w:rsidR="00805C7F">
        <w:t>Geoservices</w:t>
      </w:r>
      <w:proofErr w:type="spellEnd"/>
      <w:r w:rsidR="00805C7F">
        <w:t>”)</w:t>
      </w:r>
      <w:r w:rsidR="004809C9">
        <w:t xml:space="preserve">, a company controlled by Mr </w:t>
      </w:r>
      <w:proofErr w:type="spellStart"/>
      <w:r w:rsidR="004809C9">
        <w:t>Kilham</w:t>
      </w:r>
      <w:proofErr w:type="spellEnd"/>
      <w:r w:rsidR="004809C9">
        <w:t xml:space="preserve"> for ZAR630</w:t>
      </w:r>
      <w:proofErr w:type="gramStart"/>
      <w:r w:rsidR="004809C9">
        <w:t>,000</w:t>
      </w:r>
      <w:proofErr w:type="gramEnd"/>
      <w:r w:rsidR="004809C9">
        <w:t xml:space="preserve"> (approximately £36,000) payable in </w:t>
      </w:r>
      <w:r w:rsidR="00F83893">
        <w:t xml:space="preserve">cash in </w:t>
      </w:r>
      <w:r w:rsidR="004809C9">
        <w:t xml:space="preserve">three equal monthly instalments </w:t>
      </w:r>
      <w:r w:rsidR="00393EA8">
        <w:t xml:space="preserve">commencing on </w:t>
      </w:r>
      <w:r w:rsidR="004809C9">
        <w:t xml:space="preserve">1 February 2017. </w:t>
      </w:r>
      <w:r w:rsidR="00805C7F">
        <w:t>The crusher was previously being rented by the Company.</w:t>
      </w:r>
      <w:r w:rsidR="004809C9">
        <w:t xml:space="preserve"> The</w:t>
      </w:r>
      <w:r w:rsidR="00D35C6A">
        <w:t xml:space="preserve"> </w:t>
      </w:r>
      <w:r w:rsidR="00805C7F">
        <w:t>C</w:t>
      </w:r>
      <w:r w:rsidR="004809C9">
        <w:t xml:space="preserve">ompany has also agreed to pay Mr </w:t>
      </w:r>
      <w:proofErr w:type="spellStart"/>
      <w:r w:rsidR="004809C9">
        <w:t>Kilham</w:t>
      </w:r>
      <w:proofErr w:type="spellEnd"/>
      <w:r w:rsidR="004809C9">
        <w:t xml:space="preserve"> a further sum of ZAR 539,000 (approximately £30,000) </w:t>
      </w:r>
      <w:r w:rsidR="00903600">
        <w:t xml:space="preserve">by 10 December </w:t>
      </w:r>
      <w:r w:rsidR="002746BE">
        <w:t xml:space="preserve">2016 </w:t>
      </w:r>
      <w:r w:rsidR="00805C7F">
        <w:t xml:space="preserve">in settlement of outstanding consultancy fees due to </w:t>
      </w:r>
      <w:proofErr w:type="spellStart"/>
      <w:r w:rsidR="00D35C6A">
        <w:t>Kgalagadi</w:t>
      </w:r>
      <w:proofErr w:type="spellEnd"/>
      <w:r w:rsidR="00D35C6A">
        <w:t xml:space="preserve"> </w:t>
      </w:r>
      <w:proofErr w:type="spellStart"/>
      <w:r w:rsidR="00D35C6A">
        <w:t>Geoservices</w:t>
      </w:r>
      <w:proofErr w:type="spellEnd"/>
      <w:r w:rsidR="00805C7F">
        <w:t xml:space="preserve"> </w:t>
      </w:r>
      <w:r w:rsidR="00D35C6A">
        <w:t>and includ</w:t>
      </w:r>
      <w:r w:rsidR="00F83893">
        <w:t>ing</w:t>
      </w:r>
      <w:r w:rsidR="00D35C6A">
        <w:t xml:space="preserve"> consideration for </w:t>
      </w:r>
      <w:r w:rsidR="00F83893">
        <w:t>materials</w:t>
      </w:r>
      <w:r w:rsidR="00D35C6A">
        <w:t xml:space="preserve"> supplied to the Company by </w:t>
      </w:r>
      <w:proofErr w:type="spellStart"/>
      <w:r w:rsidR="00D35C6A">
        <w:t>Kgalagadi</w:t>
      </w:r>
      <w:proofErr w:type="spellEnd"/>
      <w:r w:rsidR="00D35C6A">
        <w:t xml:space="preserve"> </w:t>
      </w:r>
      <w:proofErr w:type="spellStart"/>
      <w:r w:rsidR="00D35C6A">
        <w:t>Geoservices</w:t>
      </w:r>
      <w:proofErr w:type="spellEnd"/>
      <w:r w:rsidR="00903600">
        <w:t>.</w:t>
      </w:r>
      <w:r w:rsidR="00F83893">
        <w:t xml:space="preserve"> </w:t>
      </w:r>
      <w:bookmarkStart w:id="0" w:name="_GoBack"/>
      <w:bookmarkEnd w:id="0"/>
    </w:p>
    <w:p w14:paraId="3B901EBD" w14:textId="1C9746B7" w:rsidR="0081066E" w:rsidRDefault="00623E39" w:rsidP="004809C9">
      <w:pPr>
        <w:jc w:val="both"/>
      </w:pPr>
      <w:r>
        <w:t xml:space="preserve">The </w:t>
      </w:r>
      <w:r w:rsidR="00D35C6A">
        <w:t>C</w:t>
      </w:r>
      <w:r>
        <w:t xml:space="preserve">ompany continues to rent premises from </w:t>
      </w:r>
      <w:proofErr w:type="spellStart"/>
      <w:r w:rsidR="00D35C6A">
        <w:t>Kgalagadi</w:t>
      </w:r>
      <w:proofErr w:type="spellEnd"/>
      <w:r w:rsidR="00D35C6A">
        <w:t xml:space="preserve"> Asset Management (Pty) Limited</w:t>
      </w:r>
      <w:r w:rsidR="00776463">
        <w:t xml:space="preserve"> (“</w:t>
      </w:r>
      <w:proofErr w:type="spellStart"/>
      <w:r w:rsidR="00776463">
        <w:t>Kgalagadi</w:t>
      </w:r>
      <w:proofErr w:type="spellEnd"/>
      <w:r w:rsidR="00776463">
        <w:t xml:space="preserve"> Asset Management”)</w:t>
      </w:r>
      <w:r w:rsidR="0076021B">
        <w:t>,</w:t>
      </w:r>
      <w:r w:rsidR="00D843F0">
        <w:t xml:space="preserve"> another company controlled by </w:t>
      </w:r>
      <w:r>
        <w:t xml:space="preserve">Mr </w:t>
      </w:r>
      <w:proofErr w:type="spellStart"/>
      <w:r>
        <w:t>Kilham</w:t>
      </w:r>
      <w:proofErr w:type="spellEnd"/>
      <w:r w:rsidR="00776463">
        <w:t>.</w:t>
      </w:r>
      <w:r w:rsidR="008A4E77">
        <w:t xml:space="preserve"> </w:t>
      </w:r>
      <w:r w:rsidR="00776463">
        <w:t>I</w:t>
      </w:r>
      <w:r w:rsidR="008A4E77">
        <w:t xml:space="preserve">t is intended that a lease agreement </w:t>
      </w:r>
      <w:r w:rsidR="00776463">
        <w:t xml:space="preserve">(“Lease”) </w:t>
      </w:r>
      <w:r w:rsidR="008A4E77">
        <w:t>will</w:t>
      </w:r>
      <w:r w:rsidR="00776463">
        <w:t xml:space="preserve"> shortly</w:t>
      </w:r>
      <w:r w:rsidR="008A4E77">
        <w:t xml:space="preserve"> be entered into</w:t>
      </w:r>
      <w:r w:rsidR="00776463">
        <w:t xml:space="preserve"> with </w:t>
      </w:r>
      <w:proofErr w:type="spellStart"/>
      <w:r w:rsidR="00776463">
        <w:t>Kgalagadi</w:t>
      </w:r>
      <w:proofErr w:type="spellEnd"/>
      <w:r w:rsidR="00776463">
        <w:t xml:space="preserve"> Asset Management</w:t>
      </w:r>
      <w:r w:rsidR="008A4E77">
        <w:t xml:space="preserve"> for</w:t>
      </w:r>
      <w:r>
        <w:t xml:space="preserve"> </w:t>
      </w:r>
      <w:r w:rsidR="00776463">
        <w:t xml:space="preserve">the continued lease of the premises at a rate of </w:t>
      </w:r>
      <w:r>
        <w:t>ZAR15,000 per month (approximately £900</w:t>
      </w:r>
      <w:r w:rsidR="00D843F0">
        <w:t xml:space="preserve"> per month</w:t>
      </w:r>
      <w:r w:rsidR="008A4E77">
        <w:t xml:space="preserve">). This was previously ZAR 9,000 per month. </w:t>
      </w:r>
    </w:p>
    <w:p w14:paraId="22F8114D" w14:textId="4014D557" w:rsidR="004809C9" w:rsidRDefault="00393EA8" w:rsidP="004809C9">
      <w:pPr>
        <w:jc w:val="both"/>
      </w:pPr>
      <w:r>
        <w:t xml:space="preserve">As stated above, </w:t>
      </w:r>
      <w:r w:rsidR="004809C9">
        <w:t xml:space="preserve">Mr </w:t>
      </w:r>
      <w:proofErr w:type="spellStart"/>
      <w:r w:rsidR="004809C9">
        <w:t>Kilham</w:t>
      </w:r>
      <w:proofErr w:type="spellEnd"/>
      <w:r w:rsidR="004809C9">
        <w:t xml:space="preserve"> resigned as a director of BlueRock </w:t>
      </w:r>
      <w:r w:rsidR="0081066E">
        <w:t xml:space="preserve">on 19 October 2016 but remains a related party as set out in the AIM </w:t>
      </w:r>
      <w:r w:rsidR="00D35C6A">
        <w:t>R</w:t>
      </w:r>
      <w:r w:rsidR="0081066E">
        <w:t>ules</w:t>
      </w:r>
      <w:r w:rsidR="00D35C6A">
        <w:t xml:space="preserve"> for Companies</w:t>
      </w:r>
      <w:r w:rsidR="0081066E">
        <w:t xml:space="preserve"> </w:t>
      </w:r>
      <w:r w:rsidR="00903600">
        <w:t xml:space="preserve">(“AIM Rules”) </w:t>
      </w:r>
      <w:r w:rsidR="0081066E">
        <w:t>until 18 October 2017.</w:t>
      </w:r>
      <w:r w:rsidR="00903600">
        <w:t xml:space="preserve"> The Agreement</w:t>
      </w:r>
      <w:r w:rsidR="00776463">
        <w:t xml:space="preserve"> and Lease are</w:t>
      </w:r>
      <w:r w:rsidR="00903600">
        <w:t xml:space="preserve"> therefore considered as a related party transaction under the AIM Rules.</w:t>
      </w:r>
    </w:p>
    <w:p w14:paraId="21BC8C3E" w14:textId="1CC8FA2D" w:rsidR="004809C9" w:rsidRDefault="004809C9" w:rsidP="004809C9">
      <w:pPr>
        <w:jc w:val="both"/>
      </w:pPr>
      <w:r>
        <w:t>The Directors</w:t>
      </w:r>
      <w:r w:rsidR="00432D18">
        <w:t xml:space="preserve"> independent of John </w:t>
      </w:r>
      <w:proofErr w:type="spellStart"/>
      <w:r w:rsidR="00432D18">
        <w:t>Kilham</w:t>
      </w:r>
      <w:proofErr w:type="spellEnd"/>
      <w:r w:rsidR="00432D18">
        <w:t xml:space="preserve">, being the Board as a whole, </w:t>
      </w:r>
      <w:r>
        <w:t xml:space="preserve">having consulted with the Company's nominated adviser, SP Angel Corporate Finance LLP, consider that the terms of the </w:t>
      </w:r>
      <w:r w:rsidR="00D35C6A">
        <w:t xml:space="preserve">Agreement </w:t>
      </w:r>
      <w:r w:rsidR="00543FA0">
        <w:t xml:space="preserve">and Lease </w:t>
      </w:r>
      <w:r>
        <w:t>are fair and reasonable insofar as the Company's shareholders are concerned.</w:t>
      </w:r>
    </w:p>
    <w:p w14:paraId="76090A03" w14:textId="77777777" w:rsidR="00E12D3A" w:rsidRPr="00104CB2" w:rsidRDefault="00E12D3A" w:rsidP="00E12D3A">
      <w:pPr>
        <w:jc w:val="both"/>
        <w:rPr>
          <w:b/>
          <w:szCs w:val="20"/>
        </w:rPr>
      </w:pPr>
      <w:r w:rsidRPr="00104CB2">
        <w:rPr>
          <w:b/>
        </w:rPr>
        <w:t>Market Abuse Regulation (MAR) Disclosure</w:t>
      </w:r>
    </w:p>
    <w:p w14:paraId="53D1FD77" w14:textId="0502CC18" w:rsidR="00E12D3A" w:rsidRPr="00E23DF8" w:rsidRDefault="00E12D3A" w:rsidP="00E12D3A">
      <w:pPr>
        <w:jc w:val="both"/>
      </w:pPr>
      <w:r w:rsidRPr="00104CB2">
        <w:t>Certain information contained in this announcement would have been deemed inside information for the purposes of Article 7 of Regulation (EU) No 596/2014 until the release of this announcement.</w:t>
      </w:r>
    </w:p>
    <w:tbl>
      <w:tblPr>
        <w:tblW w:w="9134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1"/>
        <w:gridCol w:w="1507"/>
        <w:gridCol w:w="72"/>
        <w:gridCol w:w="1755"/>
        <w:gridCol w:w="2309"/>
      </w:tblGrid>
      <w:tr w:rsidR="00E12D3A" w:rsidRPr="002534B4" w14:paraId="13A7B36F" w14:textId="77777777" w:rsidTr="00EC065A"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B00C" w14:textId="77777777" w:rsidR="00E12D3A" w:rsidRDefault="00E12D3A" w:rsidP="00EC065A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  <w:p w14:paraId="216F92D4" w14:textId="77777777" w:rsidR="00E12D3A" w:rsidRPr="002534B4" w:rsidRDefault="00E12D3A" w:rsidP="00EC065A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Enquiries:</w:t>
            </w:r>
          </w:p>
          <w:p w14:paraId="50609A05" w14:textId="77777777" w:rsidR="00E12D3A" w:rsidRPr="002534B4" w:rsidRDefault="00E12D3A" w:rsidP="00EC065A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507" w:type="dxa"/>
          </w:tcPr>
          <w:p w14:paraId="250184D7" w14:textId="77777777" w:rsidR="00E12D3A" w:rsidRPr="002534B4" w:rsidRDefault="00E12D3A" w:rsidP="00EC065A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827" w:type="dxa"/>
            <w:gridSpan w:val="2"/>
          </w:tcPr>
          <w:p w14:paraId="4651E979" w14:textId="77777777" w:rsidR="00E12D3A" w:rsidRPr="002534B4" w:rsidRDefault="00E12D3A" w:rsidP="00EC065A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23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697BB" w14:textId="77777777" w:rsidR="00E12D3A" w:rsidRPr="002534B4" w:rsidRDefault="00E12D3A" w:rsidP="00EC065A">
            <w:pPr>
              <w:spacing w:after="100" w:afterAutospacing="1" w:line="235" w:lineRule="atLeast"/>
              <w:jc w:val="both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 </w:t>
            </w:r>
          </w:p>
        </w:tc>
      </w:tr>
      <w:tr w:rsidR="00E12D3A" w:rsidRPr="002534B4" w14:paraId="02C382E1" w14:textId="77777777" w:rsidTr="00EC065A">
        <w:trPr>
          <w:trHeight w:val="1074"/>
        </w:trPr>
        <w:tc>
          <w:tcPr>
            <w:tcW w:w="34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B5C47" w14:textId="77777777" w:rsidR="00E12D3A" w:rsidRPr="002534B4" w:rsidRDefault="00E12D3A" w:rsidP="00EC065A">
            <w:pPr>
              <w:spacing w:after="100" w:afterAutospacing="1" w:line="240" w:lineRule="auto"/>
              <w:rPr>
                <w:rFonts w:cs="Arial"/>
                <w:b/>
                <w:bCs/>
                <w:color w:val="000000"/>
                <w:lang w:eastAsia="en-GB"/>
              </w:rPr>
            </w:pPr>
            <w:proofErr w:type="spellStart"/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BlueRock</w:t>
            </w:r>
            <w:proofErr w:type="spellEnd"/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 xml:space="preserve"> Diamonds plc</w:t>
            </w:r>
          </w:p>
          <w:p w14:paraId="1A2FD70D" w14:textId="77777777" w:rsidR="00E12D3A" w:rsidRPr="002534B4" w:rsidRDefault="00E12D3A" w:rsidP="00EC065A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Adam Waugh, CEO</w:t>
            </w:r>
          </w:p>
          <w:p w14:paraId="3859DD99" w14:textId="77777777" w:rsidR="00E12D3A" w:rsidRPr="002534B4" w:rsidRDefault="00E12D3A" w:rsidP="00EC065A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awaugh@bluerockdiamonds.co.uk</w:t>
            </w:r>
          </w:p>
          <w:p w14:paraId="6A97022F" w14:textId="77777777" w:rsidR="00E12D3A" w:rsidRPr="002534B4" w:rsidRDefault="00E12D3A" w:rsidP="00EC065A">
            <w:pPr>
              <w:spacing w:after="100" w:afterAutospacing="1" w:line="240" w:lineRule="auto"/>
              <w:rPr>
                <w:rFonts w:cs="Arial"/>
                <w:bCs/>
                <w:color w:val="000000"/>
                <w:lang w:eastAsia="en-GB"/>
              </w:rPr>
            </w:pPr>
          </w:p>
        </w:tc>
        <w:tc>
          <w:tcPr>
            <w:tcW w:w="1507" w:type="dxa"/>
          </w:tcPr>
          <w:p w14:paraId="3E3BA97B" w14:textId="77777777" w:rsidR="00E12D3A" w:rsidRPr="002534B4" w:rsidRDefault="00E12D3A" w:rsidP="00EC065A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72" w:type="dxa"/>
          </w:tcPr>
          <w:p w14:paraId="11E19673" w14:textId="77777777" w:rsidR="00E12D3A" w:rsidRPr="002534B4" w:rsidRDefault="00E12D3A" w:rsidP="00EC065A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406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6730" w14:textId="77777777" w:rsidR="00E12D3A" w:rsidRPr="002534B4" w:rsidRDefault="00E12D3A" w:rsidP="00EC065A">
            <w:pPr>
              <w:spacing w:after="100" w:afterAutospacing="1" w:line="240" w:lineRule="auto"/>
              <w:jc w:val="right"/>
              <w:rPr>
                <w:rFonts w:cs="Arial"/>
                <w:b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/>
                <w:bCs/>
                <w:color w:val="000000"/>
                <w:lang w:eastAsia="en-GB"/>
              </w:rPr>
              <w:t>SP Angel Corporate Finance LLP</w:t>
            </w:r>
          </w:p>
          <w:p w14:paraId="656452C2" w14:textId="77777777" w:rsidR="00E12D3A" w:rsidRPr="002534B4" w:rsidRDefault="00E12D3A" w:rsidP="00EC065A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Nominated Adviser &amp; Broker</w:t>
            </w:r>
          </w:p>
          <w:p w14:paraId="54C7D0C4" w14:textId="77777777" w:rsidR="00E12D3A" w:rsidRPr="002534B4" w:rsidRDefault="00E12D3A" w:rsidP="00EC065A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Stuart Gledhill</w:t>
            </w:r>
            <w:r>
              <w:rPr>
                <w:rFonts w:cs="Arial"/>
                <w:bCs/>
                <w:color w:val="000000"/>
                <w:lang w:eastAsia="en-GB"/>
              </w:rPr>
              <w:t xml:space="preserve"> / Lindsay </w:t>
            </w:r>
            <w:proofErr w:type="spellStart"/>
            <w:r>
              <w:rPr>
                <w:rFonts w:cs="Arial"/>
                <w:bCs/>
                <w:color w:val="000000"/>
                <w:lang w:eastAsia="en-GB"/>
              </w:rPr>
              <w:t>Mair</w:t>
            </w:r>
            <w:proofErr w:type="spellEnd"/>
          </w:p>
          <w:p w14:paraId="10A0C573" w14:textId="77777777" w:rsidR="00E12D3A" w:rsidRPr="002534B4" w:rsidRDefault="00E12D3A" w:rsidP="00EC065A">
            <w:pPr>
              <w:spacing w:after="100" w:afterAutospacing="1" w:line="240" w:lineRule="auto"/>
              <w:jc w:val="right"/>
              <w:rPr>
                <w:rFonts w:cs="Arial"/>
                <w:bCs/>
                <w:color w:val="000000"/>
                <w:lang w:eastAsia="en-GB"/>
              </w:rPr>
            </w:pPr>
            <w:r w:rsidRPr="002534B4">
              <w:rPr>
                <w:rFonts w:cs="Arial"/>
                <w:bCs/>
                <w:color w:val="000000"/>
                <w:lang w:eastAsia="en-GB"/>
              </w:rPr>
              <w:t>+44 (0) 20 3470 0470</w:t>
            </w:r>
          </w:p>
        </w:tc>
      </w:tr>
    </w:tbl>
    <w:p w14:paraId="2180AAC3" w14:textId="77777777" w:rsidR="00E12D3A" w:rsidRPr="002534B4" w:rsidRDefault="00E12D3A" w:rsidP="00E12D3A">
      <w:pPr>
        <w:spacing w:after="100" w:afterAutospacing="1" w:line="340" w:lineRule="atLeast"/>
        <w:jc w:val="both"/>
        <w:rPr>
          <w:rFonts w:ascii="Arial" w:hAnsi="Arial" w:cs="Arial"/>
          <w:color w:val="000000"/>
          <w:lang w:eastAsia="en-GB"/>
        </w:rPr>
      </w:pPr>
    </w:p>
    <w:p w14:paraId="6023B715" w14:textId="77777777" w:rsidR="00E12D3A" w:rsidRPr="002534B4" w:rsidRDefault="00E12D3A" w:rsidP="00E12D3A">
      <w:pPr>
        <w:shd w:val="clear" w:color="auto" w:fill="FFFFFF"/>
        <w:rPr>
          <w:b/>
          <w:bCs/>
        </w:rPr>
      </w:pPr>
      <w:r w:rsidRPr="002534B4">
        <w:rPr>
          <w:b/>
          <w:bCs/>
        </w:rPr>
        <w:t xml:space="preserve">About </w:t>
      </w:r>
      <w:proofErr w:type="spellStart"/>
      <w:r w:rsidRPr="002534B4">
        <w:rPr>
          <w:b/>
          <w:bCs/>
        </w:rPr>
        <w:t>BlueRock</w:t>
      </w:r>
      <w:proofErr w:type="spellEnd"/>
      <w:r w:rsidRPr="002534B4">
        <w:rPr>
          <w:b/>
          <w:bCs/>
        </w:rPr>
        <w:t xml:space="preserve"> Diamonds plc (AIM</w:t>
      </w:r>
      <w:proofErr w:type="gramStart"/>
      <w:r w:rsidRPr="002534B4">
        <w:rPr>
          <w:b/>
          <w:bCs/>
        </w:rPr>
        <w:t>:BRD</w:t>
      </w:r>
      <w:proofErr w:type="gramEnd"/>
      <w:r w:rsidRPr="002534B4">
        <w:rPr>
          <w:b/>
          <w:bCs/>
        </w:rPr>
        <w:t>)</w:t>
      </w:r>
    </w:p>
    <w:p w14:paraId="553392F8" w14:textId="77777777" w:rsidR="00E12D3A" w:rsidRPr="002534B4" w:rsidRDefault="00E12D3A" w:rsidP="00E12D3A">
      <w:pPr>
        <w:spacing w:after="240"/>
        <w:jc w:val="both"/>
        <w:rPr>
          <w:lang w:val="en-US"/>
        </w:rPr>
      </w:pPr>
      <w:proofErr w:type="spellStart"/>
      <w:r w:rsidRPr="002534B4">
        <w:rPr>
          <w:lang w:val="en-US"/>
        </w:rPr>
        <w:lastRenderedPageBreak/>
        <w:t>BlueRock</w:t>
      </w:r>
      <w:proofErr w:type="spellEnd"/>
      <w:r w:rsidRPr="002534B4">
        <w:rPr>
          <w:lang w:val="en-US"/>
        </w:rPr>
        <w:t xml:space="preserve"> is a diamond mining company with activities in the Kimberley region of South Africa. </w:t>
      </w:r>
      <w:proofErr w:type="spellStart"/>
      <w:r w:rsidRPr="002534B4">
        <w:rPr>
          <w:lang w:val="en-US"/>
        </w:rPr>
        <w:t>BlueRock</w:t>
      </w:r>
      <w:proofErr w:type="spellEnd"/>
      <w:r w:rsidRPr="002534B4">
        <w:rPr>
          <w:lang w:val="en-US"/>
        </w:rPr>
        <w:t xml:space="preserve"> own</w:t>
      </w:r>
      <w:r>
        <w:rPr>
          <w:lang w:val="en-US"/>
        </w:rPr>
        <w:t>s</w:t>
      </w:r>
      <w:r w:rsidRPr="002534B4">
        <w:rPr>
          <w:lang w:val="en-US"/>
        </w:rPr>
        <w:t xml:space="preserve"> a diamond processing plant and the mining right over the </w:t>
      </w:r>
      <w:proofErr w:type="spellStart"/>
      <w:r w:rsidRPr="002534B4">
        <w:rPr>
          <w:lang w:val="en-US"/>
        </w:rPr>
        <w:t>Kareevlei</w:t>
      </w:r>
      <w:proofErr w:type="spellEnd"/>
      <w:r w:rsidRPr="002534B4">
        <w:rPr>
          <w:lang w:val="en-US"/>
        </w:rPr>
        <w:t xml:space="preserve"> Tenements in South Africa. </w:t>
      </w:r>
    </w:p>
    <w:p w14:paraId="369A14FA" w14:textId="77777777" w:rsidR="00E12D3A" w:rsidRDefault="00E12D3A" w:rsidP="00E12D3A"/>
    <w:p w14:paraId="50238F57" w14:textId="77777777" w:rsidR="00E12D3A" w:rsidRDefault="00E12D3A" w:rsidP="00E12D3A"/>
    <w:p w14:paraId="4AEB4CC6" w14:textId="77777777" w:rsidR="00E12D3A" w:rsidRDefault="00E12D3A" w:rsidP="004809C9">
      <w:pPr>
        <w:jc w:val="both"/>
      </w:pPr>
    </w:p>
    <w:sectPr w:rsidR="00E12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C9"/>
    <w:rsid w:val="000825A1"/>
    <w:rsid w:val="00090603"/>
    <w:rsid w:val="00107105"/>
    <w:rsid w:val="0016270B"/>
    <w:rsid w:val="001A56B1"/>
    <w:rsid w:val="001F293B"/>
    <w:rsid w:val="00244F3E"/>
    <w:rsid w:val="002746BE"/>
    <w:rsid w:val="002A5D55"/>
    <w:rsid w:val="003610FC"/>
    <w:rsid w:val="00393EA8"/>
    <w:rsid w:val="00432D18"/>
    <w:rsid w:val="004809C9"/>
    <w:rsid w:val="004864B6"/>
    <w:rsid w:val="00543FA0"/>
    <w:rsid w:val="005B70DA"/>
    <w:rsid w:val="00623E39"/>
    <w:rsid w:val="00633449"/>
    <w:rsid w:val="00701EA8"/>
    <w:rsid w:val="0076021B"/>
    <w:rsid w:val="00776463"/>
    <w:rsid w:val="007775A2"/>
    <w:rsid w:val="007E6089"/>
    <w:rsid w:val="008018CE"/>
    <w:rsid w:val="00805C7F"/>
    <w:rsid w:val="0081066E"/>
    <w:rsid w:val="008A4E77"/>
    <w:rsid w:val="00903600"/>
    <w:rsid w:val="00A21E6E"/>
    <w:rsid w:val="00A53011"/>
    <w:rsid w:val="00AC399B"/>
    <w:rsid w:val="00AF7BEA"/>
    <w:rsid w:val="00D35C6A"/>
    <w:rsid w:val="00D52A3B"/>
    <w:rsid w:val="00D843F0"/>
    <w:rsid w:val="00E03715"/>
    <w:rsid w:val="00E12D3A"/>
    <w:rsid w:val="00F8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734C"/>
  <w15:chartTrackingRefBased/>
  <w15:docId w15:val="{11CAE201-A47A-47AC-8790-1692FB62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2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Facey</dc:creator>
  <cp:keywords/>
  <dc:description/>
  <cp:lastModifiedBy>Caroline Rowe</cp:lastModifiedBy>
  <cp:revision>3</cp:revision>
  <dcterms:created xsi:type="dcterms:W3CDTF">2016-12-09T12:23:00Z</dcterms:created>
  <dcterms:modified xsi:type="dcterms:W3CDTF">2016-12-09T13:03:00Z</dcterms:modified>
</cp:coreProperties>
</file>