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522D5" w14:textId="77777777" w:rsidR="002534B4" w:rsidRDefault="002534B4" w:rsidP="002534B4">
      <w:pPr>
        <w:pStyle w:val="ajk"/>
        <w:spacing w:before="0" w:beforeAutospacing="0" w:line="340" w:lineRule="atLeast"/>
        <w:jc w:val="center"/>
        <w:rPr>
          <w:b/>
          <w:bCs/>
          <w:color w:val="000000"/>
        </w:rPr>
      </w:pP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BlueRock Diamonds plc</w:t>
      </w:r>
    </w:p>
    <w:p w14:paraId="6D85F1F5" w14:textId="77777777" w:rsidR="002534B4" w:rsidRDefault="002534B4" w:rsidP="002534B4">
      <w:pPr>
        <w:pStyle w:val="ajk"/>
        <w:spacing w:before="0" w:beforeAutospacing="0" w:line="340" w:lineRule="atLeast"/>
        <w:jc w:val="center"/>
        <w:rPr>
          <w:b/>
          <w:bCs/>
          <w:color w:val="000000"/>
        </w:rPr>
      </w:pP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("BlueRock" or "the Company")</w:t>
      </w:r>
    </w:p>
    <w:p w14:paraId="46A04721" w14:textId="5FE275AF" w:rsidR="002534B4" w:rsidRDefault="00891EFA" w:rsidP="002534B4">
      <w:pPr>
        <w:pStyle w:val="ajk"/>
        <w:spacing w:before="0" w:beforeAutospacing="0" w:line="340" w:lineRule="atLeast"/>
        <w:jc w:val="center"/>
      </w:pPr>
      <w:r>
        <w:rPr>
          <w:rStyle w:val="aji"/>
          <w:rFonts w:ascii="Calibri" w:hAnsi="Calibri"/>
          <w:b/>
          <w:bCs/>
          <w:color w:val="000000"/>
          <w:sz w:val="22"/>
          <w:szCs w:val="22"/>
        </w:rPr>
        <w:t>20</w:t>
      </w:r>
      <w:r w:rsidR="004B379C">
        <w:rPr>
          <w:rStyle w:val="aji"/>
          <w:rFonts w:ascii="Calibri" w:hAnsi="Calibri"/>
          <w:b/>
          <w:bCs/>
          <w:color w:val="000000"/>
          <w:sz w:val="22"/>
          <w:szCs w:val="22"/>
        </w:rPr>
        <w:t xml:space="preserve"> October</w:t>
      </w:r>
      <w:r w:rsidR="002534B4">
        <w:rPr>
          <w:rStyle w:val="aji"/>
          <w:rFonts w:ascii="Calibri" w:hAnsi="Calibri"/>
          <w:b/>
          <w:bCs/>
          <w:color w:val="000000"/>
          <w:sz w:val="22"/>
          <w:szCs w:val="22"/>
        </w:rPr>
        <w:t xml:space="preserve"> 2016</w:t>
      </w:r>
    </w:p>
    <w:p w14:paraId="0DD59209" w14:textId="0720B7CF" w:rsidR="008003B4" w:rsidRPr="002534B4" w:rsidRDefault="00403826" w:rsidP="002534B4">
      <w:pPr>
        <w:jc w:val="center"/>
        <w:rPr>
          <w:b/>
        </w:rPr>
      </w:pPr>
      <w:r>
        <w:rPr>
          <w:b/>
        </w:rPr>
        <w:t xml:space="preserve">Result of GM and </w:t>
      </w:r>
      <w:r w:rsidR="00891EFA">
        <w:rPr>
          <w:b/>
        </w:rPr>
        <w:t>clarification</w:t>
      </w:r>
      <w:r w:rsidR="003D193E">
        <w:rPr>
          <w:b/>
        </w:rPr>
        <w:t xml:space="preserve"> of previous </w:t>
      </w:r>
      <w:r w:rsidR="006E5A37">
        <w:rPr>
          <w:b/>
        </w:rPr>
        <w:t>announcement</w:t>
      </w:r>
    </w:p>
    <w:p w14:paraId="55501CF7" w14:textId="3DAE6043" w:rsidR="008003B4" w:rsidRDefault="00403826" w:rsidP="008003B4">
      <w:r>
        <w:t xml:space="preserve">The Board of </w:t>
      </w:r>
      <w:proofErr w:type="spellStart"/>
      <w:r>
        <w:t>BlueRock</w:t>
      </w:r>
      <w:proofErr w:type="spellEnd"/>
      <w:r>
        <w:t xml:space="preserve"> Diamonds plc (AIM:BRD) announces that</w:t>
      </w:r>
      <w:r w:rsidR="003D193E">
        <w:t xml:space="preserve"> all of</w:t>
      </w:r>
      <w:r>
        <w:t xml:space="preserve"> the resolutions proposed at the Company’s General Meeting held earlier today were all duly passed by shareholders.  </w:t>
      </w:r>
    </w:p>
    <w:p w14:paraId="7D740452" w14:textId="37FE9686" w:rsidR="00E23DF8" w:rsidRDefault="003F73C9" w:rsidP="00236D96">
      <w:pPr>
        <w:jc w:val="both"/>
      </w:pPr>
      <w:r>
        <w:t>I</w:t>
      </w:r>
      <w:r w:rsidR="00B07499">
        <w:t xml:space="preserve">t was announced yesterday </w:t>
      </w:r>
      <w:r>
        <w:t>that in addition to resigning as a director of the Company,</w:t>
      </w:r>
      <w:r w:rsidR="00B07499">
        <w:t xml:space="preserve"> Mr </w:t>
      </w:r>
      <w:proofErr w:type="spellStart"/>
      <w:r w:rsidR="00B07499">
        <w:t>Kilham</w:t>
      </w:r>
      <w:proofErr w:type="spellEnd"/>
      <w:r w:rsidR="00B07499">
        <w:t xml:space="preserve"> had </w:t>
      </w:r>
      <w:r>
        <w:t xml:space="preserve">also </w:t>
      </w:r>
      <w:r w:rsidR="00B07499">
        <w:t xml:space="preserve">resigned as an employee of </w:t>
      </w:r>
      <w:r w:rsidR="00E23DF8">
        <w:t>Kareevlei Mining (Pty) Limited</w:t>
      </w:r>
      <w:r w:rsidR="00B07499">
        <w:t xml:space="preserve"> (“Kareevlei”)</w:t>
      </w:r>
      <w:r w:rsidR="00E23DF8">
        <w:t xml:space="preserve">, </w:t>
      </w:r>
      <w:r w:rsidR="00A60418">
        <w:t>the Company’s</w:t>
      </w:r>
      <w:r w:rsidR="00E23DF8">
        <w:t xml:space="preserve"> operating subsidiary in </w:t>
      </w:r>
      <w:r w:rsidR="001C0479">
        <w:t>South Africa</w:t>
      </w:r>
      <w:r w:rsidR="00891EFA">
        <w:t xml:space="preserve">. </w:t>
      </w:r>
      <w:r>
        <w:t xml:space="preserve"> Whilst Mr </w:t>
      </w:r>
      <w:proofErr w:type="spellStart"/>
      <w:r>
        <w:t>Kilham</w:t>
      </w:r>
      <w:proofErr w:type="spellEnd"/>
      <w:r>
        <w:t xml:space="preserve"> has resigned as a director of the Company effective from </w:t>
      </w:r>
      <w:bookmarkStart w:id="0" w:name="_GoBack"/>
      <w:bookmarkEnd w:id="0"/>
      <w:r>
        <w:t xml:space="preserve">19 October 2016. </w:t>
      </w:r>
      <w:r w:rsidR="00B07499">
        <w:t xml:space="preserve">Mr </w:t>
      </w:r>
      <w:proofErr w:type="spellStart"/>
      <w:r w:rsidR="00B07499">
        <w:t>Kilham</w:t>
      </w:r>
      <w:proofErr w:type="spellEnd"/>
      <w:r w:rsidR="00B07499">
        <w:t xml:space="preserve"> has never been an employee of Kareevlei and therefore </w:t>
      </w:r>
      <w:r w:rsidR="00891EFA">
        <w:t xml:space="preserve">the announcement of </w:t>
      </w:r>
      <w:r w:rsidR="00B07499">
        <w:t xml:space="preserve">his resignation from Kareevlei was made in error.  </w:t>
      </w:r>
      <w:r w:rsidR="003D193E">
        <w:t>Mr Kilham is no longer employed by the Company in any capacity.</w:t>
      </w:r>
    </w:p>
    <w:tbl>
      <w:tblPr>
        <w:tblW w:w="913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1507"/>
        <w:gridCol w:w="1827"/>
        <w:gridCol w:w="2309"/>
      </w:tblGrid>
      <w:tr w:rsidR="003F73C9" w:rsidRPr="002534B4" w14:paraId="14733109" w14:textId="77777777" w:rsidTr="003F73C9"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B5F7" w14:textId="77777777" w:rsidR="003F73C9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  <w:p w14:paraId="172EF911" w14:textId="77777777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Enquiries:</w:t>
            </w:r>
          </w:p>
          <w:p w14:paraId="0015BDB9" w14:textId="77777777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07" w:type="dxa"/>
          </w:tcPr>
          <w:p w14:paraId="5D1C0CB1" w14:textId="77777777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27" w:type="dxa"/>
          </w:tcPr>
          <w:p w14:paraId="2F4872FE" w14:textId="77777777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BBC5" w14:textId="37F0E330" w:rsidR="003F73C9" w:rsidRPr="002534B4" w:rsidRDefault="003F73C9" w:rsidP="002534B4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3F73C9" w:rsidRPr="002534B4" w14:paraId="127AE117" w14:textId="77777777" w:rsidTr="003F73C9">
        <w:trPr>
          <w:trHeight w:val="1074"/>
        </w:trPr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F027" w14:textId="77777777" w:rsidR="003F73C9" w:rsidRPr="002534B4" w:rsidRDefault="003F73C9" w:rsidP="002534B4">
            <w:pPr>
              <w:spacing w:after="100" w:afterAutospacing="1" w:line="240" w:lineRule="auto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BlueRock Diamonds plc</w:t>
            </w:r>
          </w:p>
          <w:p w14:paraId="3105BF64" w14:textId="77777777" w:rsidR="003F73C9" w:rsidRPr="002534B4" w:rsidRDefault="003F73C9" w:rsidP="002534B4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Adam Waugh, CEO</w:t>
            </w:r>
          </w:p>
          <w:p w14:paraId="448C3426" w14:textId="77777777" w:rsidR="003F73C9" w:rsidRPr="002534B4" w:rsidRDefault="003F73C9" w:rsidP="002534B4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awaugh@bluerockdiamonds.co.uk</w:t>
            </w:r>
          </w:p>
          <w:p w14:paraId="51B960F5" w14:textId="77777777" w:rsidR="003F73C9" w:rsidRPr="002534B4" w:rsidRDefault="003F73C9" w:rsidP="002534B4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507" w:type="dxa"/>
          </w:tcPr>
          <w:p w14:paraId="4FC977F6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27" w:type="dxa"/>
          </w:tcPr>
          <w:p w14:paraId="33CDDFED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F3DA" w14:textId="097049DA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SP Angel Corporate Finance LLP</w:t>
            </w:r>
          </w:p>
          <w:p w14:paraId="0896EA16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Nominated Adviser &amp; Broker</w:t>
            </w:r>
          </w:p>
          <w:p w14:paraId="209EF315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David Facey / Stuart Gledhill</w:t>
            </w:r>
          </w:p>
          <w:p w14:paraId="0CE04319" w14:textId="77777777" w:rsidR="003F73C9" w:rsidRPr="002534B4" w:rsidRDefault="003F73C9" w:rsidP="002534B4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+44 (0) 20 3470 0470</w:t>
            </w:r>
          </w:p>
        </w:tc>
      </w:tr>
    </w:tbl>
    <w:p w14:paraId="0F19DC04" w14:textId="77777777" w:rsidR="002534B4" w:rsidRPr="002534B4" w:rsidRDefault="002534B4" w:rsidP="002534B4">
      <w:pPr>
        <w:spacing w:after="100" w:afterAutospacing="1" w:line="340" w:lineRule="atLeast"/>
        <w:jc w:val="both"/>
        <w:rPr>
          <w:rFonts w:ascii="Arial" w:hAnsi="Arial" w:cs="Arial"/>
          <w:color w:val="000000"/>
          <w:lang w:eastAsia="en-GB"/>
        </w:rPr>
      </w:pPr>
    </w:p>
    <w:p w14:paraId="6E1A42D1" w14:textId="77777777" w:rsidR="002534B4" w:rsidRPr="002534B4" w:rsidRDefault="002534B4" w:rsidP="002534B4">
      <w:pPr>
        <w:shd w:val="clear" w:color="auto" w:fill="FFFFFF"/>
        <w:rPr>
          <w:b/>
          <w:bCs/>
        </w:rPr>
      </w:pPr>
      <w:r w:rsidRPr="002534B4">
        <w:rPr>
          <w:b/>
          <w:bCs/>
        </w:rPr>
        <w:t>About BlueRock Diamonds plc (AIM</w:t>
      </w:r>
      <w:proofErr w:type="gramStart"/>
      <w:r w:rsidRPr="002534B4">
        <w:rPr>
          <w:b/>
          <w:bCs/>
        </w:rPr>
        <w:t>:BRD</w:t>
      </w:r>
      <w:proofErr w:type="gramEnd"/>
      <w:r w:rsidRPr="002534B4">
        <w:rPr>
          <w:b/>
          <w:bCs/>
        </w:rPr>
        <w:t>)</w:t>
      </w:r>
    </w:p>
    <w:p w14:paraId="00824311" w14:textId="77777777" w:rsidR="002534B4" w:rsidRPr="002534B4" w:rsidRDefault="002534B4" w:rsidP="002534B4">
      <w:pPr>
        <w:spacing w:after="240"/>
        <w:jc w:val="both"/>
        <w:rPr>
          <w:lang w:val="en-US"/>
        </w:rPr>
      </w:pPr>
      <w:r w:rsidRPr="002534B4">
        <w:rPr>
          <w:lang w:val="en-US"/>
        </w:rPr>
        <w:t xml:space="preserve">BlueRock is a diamond mining company with activities in the Kimberley region of South Africa. BlueRock own a diamond processing plant and the mining right over the Kareevlei Tenements in South Africa. </w:t>
      </w:r>
    </w:p>
    <w:p w14:paraId="20538F76" w14:textId="77777777" w:rsidR="002534B4" w:rsidRDefault="002534B4" w:rsidP="00D65D6E">
      <w:pPr>
        <w:jc w:val="both"/>
      </w:pPr>
    </w:p>
    <w:p w14:paraId="40B362C2" w14:textId="77777777" w:rsidR="002534B4" w:rsidRDefault="002534B4" w:rsidP="00D65D6E">
      <w:pPr>
        <w:jc w:val="both"/>
      </w:pPr>
    </w:p>
    <w:sectPr w:rsidR="00253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A1D7D"/>
    <w:multiLevelType w:val="hybridMultilevel"/>
    <w:tmpl w:val="6A8A9820"/>
    <w:lvl w:ilvl="0" w:tplc="B4523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B4"/>
    <w:rsid w:val="00061B81"/>
    <w:rsid w:val="001C0479"/>
    <w:rsid w:val="00236D96"/>
    <w:rsid w:val="002534B4"/>
    <w:rsid w:val="00290D4A"/>
    <w:rsid w:val="002C4CB8"/>
    <w:rsid w:val="00347538"/>
    <w:rsid w:val="003D193E"/>
    <w:rsid w:val="003F73C9"/>
    <w:rsid w:val="00403826"/>
    <w:rsid w:val="00421214"/>
    <w:rsid w:val="004B379C"/>
    <w:rsid w:val="004C1E29"/>
    <w:rsid w:val="005876A0"/>
    <w:rsid w:val="0062252B"/>
    <w:rsid w:val="006E5A37"/>
    <w:rsid w:val="00715BF7"/>
    <w:rsid w:val="00783F58"/>
    <w:rsid w:val="008003B4"/>
    <w:rsid w:val="0081798E"/>
    <w:rsid w:val="00883BA3"/>
    <w:rsid w:val="00891EFA"/>
    <w:rsid w:val="008F6B52"/>
    <w:rsid w:val="009B701E"/>
    <w:rsid w:val="009D2578"/>
    <w:rsid w:val="00A569B0"/>
    <w:rsid w:val="00A60418"/>
    <w:rsid w:val="00B07499"/>
    <w:rsid w:val="00B464A3"/>
    <w:rsid w:val="00B62DEC"/>
    <w:rsid w:val="00BA203B"/>
    <w:rsid w:val="00BB7231"/>
    <w:rsid w:val="00BF5146"/>
    <w:rsid w:val="00C270E1"/>
    <w:rsid w:val="00C72BE8"/>
    <w:rsid w:val="00CE2685"/>
    <w:rsid w:val="00CE3330"/>
    <w:rsid w:val="00D65D6E"/>
    <w:rsid w:val="00DC3EAC"/>
    <w:rsid w:val="00DE0D26"/>
    <w:rsid w:val="00E22C16"/>
    <w:rsid w:val="00E23DF8"/>
    <w:rsid w:val="00E42C3D"/>
    <w:rsid w:val="00E4441D"/>
    <w:rsid w:val="00EA3837"/>
    <w:rsid w:val="00F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46A9"/>
  <w15:chartTrackingRefBased/>
  <w15:docId w15:val="{F5EA9EF7-80EF-4983-BABB-CFF3FAA0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B0"/>
    <w:pPr>
      <w:ind w:left="720"/>
      <w:contextualSpacing/>
    </w:pPr>
  </w:style>
  <w:style w:type="paragraph" w:customStyle="1" w:styleId="ajk">
    <w:name w:val="ajk"/>
    <w:basedOn w:val="Normal"/>
    <w:rsid w:val="002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ji">
    <w:name w:val="aji"/>
    <w:basedOn w:val="DefaultParagraphFont"/>
    <w:rsid w:val="002534B4"/>
  </w:style>
  <w:style w:type="paragraph" w:styleId="BalloonText">
    <w:name w:val="Balloon Text"/>
    <w:basedOn w:val="Normal"/>
    <w:link w:val="BalloonTextChar"/>
    <w:uiPriority w:val="99"/>
    <w:semiHidden/>
    <w:unhideWhenUsed/>
    <w:rsid w:val="00B6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Facey</dc:creator>
  <cp:keywords/>
  <dc:description/>
  <cp:lastModifiedBy>David Facey</cp:lastModifiedBy>
  <cp:revision>2</cp:revision>
  <cp:lastPrinted>2016-10-19T10:30:00Z</cp:lastPrinted>
  <dcterms:created xsi:type="dcterms:W3CDTF">2016-10-20T09:43:00Z</dcterms:created>
  <dcterms:modified xsi:type="dcterms:W3CDTF">2016-10-20T09:43:00Z</dcterms:modified>
</cp:coreProperties>
</file>